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SUSUZ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ÇE MEM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DÖGEP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ARALIK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AYI ETK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İNLİK RAPORU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EYLEM KONUSU: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itim felsefesi,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retmenlik,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retmenlik meslek eti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retmenli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misyonu, milli, manevi ve evrensel sorumluluklar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EYLEM TÜRÜ: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ünce, Sunum,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rneklem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PAYDA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ŞLAR: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Diğer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ğretmenler,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çe Milli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ğitim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KATILIMCI SAYISI: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ğretmen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 Milli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itim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ETK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İNLİK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DÖGEP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ık ayı etkinliği kapsamında, 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itim felsefesi,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retmenlik,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retmenlik meslek eti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retmenli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misyonu, milli, manevi ve evrensel sorumluluklar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 konusunda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yapıldı, Ahmet Haşim AĞABEYOĞLU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'nun da 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retmenlik meslek eti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hakk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nda bilgi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inde bulunuldu.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Etkili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itimin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labilmesi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ğretim metotları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ğrencilerin gelişim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özellikleri, haz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ırbulunuşluk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üzeyleri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gibi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konu içeri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ğinin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ğine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ğretim ortamlarının fiziksel imk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ânlar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ına bağlı olarak tartışılmış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